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FA1" w:rsidRDefault="009A1FA1" w:rsidP="006A3C35">
      <w:pPr>
        <w:pStyle w:val="Standard"/>
        <w:rPr>
          <w:rFonts w:ascii="Tahoma" w:hAnsi="Tahoma" w:cs="Tahoma"/>
          <w:b/>
        </w:rPr>
      </w:pPr>
    </w:p>
    <w:p w:rsidR="009A1FA1" w:rsidRDefault="00786E9D">
      <w:pPr>
        <w:pStyle w:val="Standard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Harmonogram szkoleń w ramach Sieci Współpracy i Samokształcenia</w:t>
      </w:r>
      <w:r w:rsidR="00C0613F">
        <w:rPr>
          <w:rFonts w:ascii="Tahoma" w:hAnsi="Tahoma" w:cs="Tahoma"/>
          <w:b/>
        </w:rPr>
        <w:t xml:space="preserve"> – </w:t>
      </w:r>
      <w:r w:rsidR="006A3C35">
        <w:rPr>
          <w:rFonts w:ascii="Tahoma" w:hAnsi="Tahoma" w:cs="Tahoma"/>
          <w:b/>
        </w:rPr>
        <w:t>Kompetentny Mały Człowiek</w:t>
      </w:r>
    </w:p>
    <w:p w:rsidR="009A1FA1" w:rsidRDefault="009A1FA1">
      <w:pPr>
        <w:pStyle w:val="Standard"/>
        <w:jc w:val="center"/>
        <w:rPr>
          <w:rFonts w:ascii="Tahoma" w:hAnsi="Tahoma" w:cs="Tahoma"/>
          <w:b/>
        </w:rPr>
      </w:pPr>
    </w:p>
    <w:p w:rsidR="009A1FA1" w:rsidRDefault="006A3C35">
      <w:pPr>
        <w:pStyle w:val="Standard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Ekspert</w:t>
      </w:r>
      <w:r w:rsidR="00786E9D">
        <w:rPr>
          <w:rFonts w:ascii="Tahoma" w:hAnsi="Tahoma" w:cs="Tahoma"/>
          <w:b/>
        </w:rPr>
        <w:t xml:space="preserve"> – </w:t>
      </w:r>
      <w:r>
        <w:rPr>
          <w:rFonts w:ascii="Tahoma" w:hAnsi="Tahoma" w:cs="Tahoma"/>
          <w:b/>
        </w:rPr>
        <w:t xml:space="preserve">Renata </w:t>
      </w:r>
      <w:proofErr w:type="spellStart"/>
      <w:r>
        <w:rPr>
          <w:rFonts w:ascii="Tahoma" w:hAnsi="Tahoma" w:cs="Tahoma"/>
          <w:b/>
        </w:rPr>
        <w:t>Pasymowska</w:t>
      </w:r>
      <w:proofErr w:type="spellEnd"/>
    </w:p>
    <w:p w:rsidR="009A1FA1" w:rsidRDefault="009A1FA1">
      <w:pPr>
        <w:pStyle w:val="Standard"/>
        <w:jc w:val="center"/>
        <w:rPr>
          <w:rFonts w:ascii="Tahoma" w:hAnsi="Tahoma" w:cs="Tahoma"/>
          <w:b/>
        </w:rPr>
      </w:pPr>
    </w:p>
    <w:p w:rsidR="009A1FA1" w:rsidRDefault="009A1FA1">
      <w:pPr>
        <w:pStyle w:val="Standard"/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7224"/>
      </w:tblGrid>
      <w:tr w:rsidR="006A3C35" w:rsidTr="006A3C35">
        <w:trPr>
          <w:jc w:val="center"/>
        </w:trPr>
        <w:tc>
          <w:tcPr>
            <w:tcW w:w="1838" w:type="dxa"/>
          </w:tcPr>
          <w:p w:rsidR="006A3C35" w:rsidRPr="00E039B8" w:rsidRDefault="006A3C35" w:rsidP="006A3C35">
            <w:pPr>
              <w:jc w:val="center"/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Termin</w:t>
            </w:r>
          </w:p>
        </w:tc>
        <w:tc>
          <w:tcPr>
            <w:tcW w:w="7224" w:type="dxa"/>
          </w:tcPr>
          <w:p w:rsidR="006A3C35" w:rsidRPr="00E039B8" w:rsidRDefault="006A3C35" w:rsidP="003D5409">
            <w:pPr>
              <w:jc w:val="center"/>
              <w:rPr>
                <w:rFonts w:eastAsia="Times New Roman" w:cstheme="minorHAnsi"/>
                <w:b/>
                <w:lang w:eastAsia="pl-PL"/>
              </w:rPr>
            </w:pPr>
            <w:r w:rsidRPr="00E039B8">
              <w:rPr>
                <w:rFonts w:eastAsia="Times New Roman" w:cstheme="minorHAnsi"/>
                <w:b/>
                <w:lang w:eastAsia="pl-PL"/>
              </w:rPr>
              <w:t>Tematyka</w:t>
            </w:r>
          </w:p>
        </w:tc>
      </w:tr>
      <w:tr w:rsidR="006A3C35" w:rsidTr="006A3C35">
        <w:trPr>
          <w:jc w:val="center"/>
        </w:trPr>
        <w:tc>
          <w:tcPr>
            <w:tcW w:w="1838" w:type="dxa"/>
          </w:tcPr>
          <w:p w:rsidR="006A3C35" w:rsidRPr="008D5DF3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 w:rsidRPr="008D5DF3">
              <w:rPr>
                <w:rFonts w:eastAsia="Times New Roman" w:cstheme="minorHAnsi"/>
                <w:b/>
                <w:lang w:eastAsia="pl-PL"/>
              </w:rPr>
              <w:t>15.04.2025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</w:p>
          <w:p w:rsidR="006A3C35" w:rsidRPr="008D5DF3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 w:rsidRPr="008D5DF3">
              <w:rPr>
                <w:rFonts w:eastAsia="Times New Roman" w:cstheme="minorHAnsi"/>
                <w:b/>
                <w:lang w:eastAsia="pl-PL"/>
              </w:rPr>
              <w:t>24.04.2025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Pr="00837E80" w:rsidRDefault="006A3C35" w:rsidP="003D5409">
            <w:pPr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224" w:type="dxa"/>
          </w:tcPr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  <w:r w:rsidRPr="002A57B9">
              <w:rPr>
                <w:rFonts w:eastAsia="Times New Roman" w:cstheme="minorHAnsi"/>
                <w:i/>
                <w:lang w:eastAsia="pl-PL"/>
              </w:rPr>
              <w:t>Podwaliny sukcesu szkolnego, czyli o gotowości dziecka do wejścia w rolę ucznia cz. 1</w:t>
            </w:r>
            <w:r>
              <w:rPr>
                <w:rFonts w:eastAsia="Times New Roman" w:cstheme="minorHAnsi"/>
                <w:i/>
                <w:lang w:eastAsia="pl-PL"/>
              </w:rPr>
              <w:t xml:space="preserve"> </w:t>
            </w:r>
          </w:p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</w:p>
          <w:p w:rsidR="006A3C35" w:rsidRPr="002A57B9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 xml:space="preserve">Jak rozwijać kompetencje cyfrowe w wychowaniu przedszkolnym i w edukacji wczesnoszkolnej, by wpływały na sukces szkolny? Spotkanie z ekspertem </w:t>
            </w:r>
          </w:p>
        </w:tc>
      </w:tr>
      <w:tr w:rsidR="006A3C35" w:rsidTr="006A3C35">
        <w:trPr>
          <w:jc w:val="center"/>
        </w:trPr>
        <w:tc>
          <w:tcPr>
            <w:tcW w:w="1838" w:type="dxa"/>
          </w:tcPr>
          <w:p w:rsidR="006A3C35" w:rsidRPr="008D5DF3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 w:rsidRPr="008D5DF3">
              <w:rPr>
                <w:rFonts w:eastAsia="Times New Roman" w:cstheme="minorHAnsi"/>
                <w:b/>
                <w:lang w:eastAsia="pl-PL"/>
              </w:rPr>
              <w:t>06.05.2025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</w:p>
          <w:p w:rsidR="006A3C35" w:rsidRPr="008D5DF3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 w:rsidRPr="008D5DF3">
              <w:rPr>
                <w:rFonts w:eastAsia="Times New Roman" w:cstheme="minorHAnsi"/>
                <w:b/>
                <w:lang w:eastAsia="pl-PL"/>
              </w:rPr>
              <w:t>27.05.2025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224" w:type="dxa"/>
          </w:tcPr>
          <w:p w:rsidR="006A3C35" w:rsidRDefault="006A3C35" w:rsidP="003D5409">
            <w:pPr>
              <w:jc w:val="center"/>
              <w:rPr>
                <w:rFonts w:eastAsia="Times New Roman" w:cstheme="minorHAnsi"/>
                <w:color w:val="FF0000"/>
                <w:lang w:eastAsia="pl-PL"/>
              </w:rPr>
            </w:pPr>
            <w:r w:rsidRPr="002A57B9">
              <w:rPr>
                <w:rFonts w:eastAsia="Times New Roman" w:cstheme="minorHAnsi"/>
                <w:i/>
                <w:lang w:eastAsia="pl-PL"/>
              </w:rPr>
              <w:t>Podwaliny sukcesu szkolnego, czyli o gotowości dziecka do wejścia w rolę ucznia</w:t>
            </w:r>
            <w:r>
              <w:rPr>
                <w:rFonts w:eastAsia="Times New Roman" w:cstheme="minorHAnsi"/>
                <w:i/>
                <w:lang w:eastAsia="pl-PL"/>
              </w:rPr>
              <w:t xml:space="preserve"> cz. 2 </w:t>
            </w:r>
          </w:p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</w:p>
          <w:p w:rsidR="006A3C35" w:rsidRPr="00837E80" w:rsidRDefault="006A3C35" w:rsidP="003D5409">
            <w:pPr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 xml:space="preserve">Jak rozwijać kompetencje matematyczne w wychowaniu przedszkolnym                           i w edukacji wczesnoszkolnej, by wpływały na sukces szkolny? Spotkanie                         z ekspertem </w:t>
            </w:r>
          </w:p>
        </w:tc>
      </w:tr>
      <w:tr w:rsidR="006A3C35" w:rsidTr="006A3C35">
        <w:trPr>
          <w:jc w:val="center"/>
        </w:trPr>
        <w:tc>
          <w:tcPr>
            <w:tcW w:w="1838" w:type="dxa"/>
          </w:tcPr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 xml:space="preserve">03.06.2025 r. 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</w:p>
          <w:p w:rsidR="006A3C35" w:rsidRDefault="00DE1895" w:rsidP="003D5409">
            <w:pPr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16</w:t>
            </w:r>
            <w:bookmarkStart w:id="0" w:name="_GoBack"/>
            <w:bookmarkEnd w:id="0"/>
            <w:r w:rsidR="006A3C35">
              <w:rPr>
                <w:rFonts w:eastAsia="Times New Roman" w:cstheme="minorHAnsi"/>
                <w:b/>
                <w:lang w:eastAsia="pl-PL"/>
              </w:rPr>
              <w:t>.06.2025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Pr="008D5DF3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</w:p>
        </w:tc>
        <w:tc>
          <w:tcPr>
            <w:tcW w:w="7224" w:type="dxa"/>
          </w:tcPr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  <w:r w:rsidRPr="002A57B9">
              <w:rPr>
                <w:rFonts w:eastAsia="Times New Roman" w:cstheme="minorHAnsi"/>
                <w:i/>
                <w:lang w:eastAsia="pl-PL"/>
              </w:rPr>
              <w:t>Podwaliny sukcesu szkolnego, czyli o gotowości dziecka do wejścia w rolę ucznia</w:t>
            </w:r>
            <w:r>
              <w:rPr>
                <w:rFonts w:eastAsia="Times New Roman" w:cstheme="minorHAnsi"/>
                <w:i/>
                <w:lang w:eastAsia="pl-PL"/>
              </w:rPr>
              <w:t xml:space="preserve"> cz. 3 </w:t>
            </w:r>
          </w:p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</w:p>
          <w:p w:rsidR="006A3C35" w:rsidRPr="002A57B9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 xml:space="preserve">Jak edukacja przyrodnicza w wychowaniu przedszkolnym i w edukacji wczesnoszkolnej może wpływać na sukces szkolny? Spotkanie z ekspertem </w:t>
            </w:r>
          </w:p>
        </w:tc>
      </w:tr>
      <w:tr w:rsidR="006A3C35" w:rsidTr="006A3C35">
        <w:trPr>
          <w:jc w:val="center"/>
        </w:trPr>
        <w:tc>
          <w:tcPr>
            <w:tcW w:w="1838" w:type="dxa"/>
          </w:tcPr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10.09.2025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</w:p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23.09.2025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</w:p>
        </w:tc>
        <w:tc>
          <w:tcPr>
            <w:tcW w:w="7224" w:type="dxa"/>
          </w:tcPr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  <w:r w:rsidRPr="002A57B9">
              <w:rPr>
                <w:rFonts w:eastAsia="Times New Roman" w:cstheme="minorHAnsi"/>
                <w:i/>
                <w:lang w:eastAsia="pl-PL"/>
              </w:rPr>
              <w:t>Podwaliny sukcesu szkolnego, czyli o gotowości dziecka do wejścia w rolę ucznia</w:t>
            </w:r>
            <w:r>
              <w:rPr>
                <w:rFonts w:eastAsia="Times New Roman" w:cstheme="minorHAnsi"/>
                <w:i/>
                <w:lang w:eastAsia="pl-PL"/>
              </w:rPr>
              <w:t xml:space="preserve"> cz. 4 </w:t>
            </w:r>
          </w:p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</w:p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>Jak edukacja muzyczna w wychowaniu przedszkolnym i w edukacji wczesnoszkolnej może wpływać na sukces szkolny? Spotkanie z ekspertem</w:t>
            </w:r>
          </w:p>
          <w:p w:rsidR="006A3C35" w:rsidRPr="002A57B9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</w:p>
        </w:tc>
      </w:tr>
      <w:tr w:rsidR="006A3C35" w:rsidTr="006A3C35">
        <w:trPr>
          <w:jc w:val="center"/>
        </w:trPr>
        <w:tc>
          <w:tcPr>
            <w:tcW w:w="1838" w:type="dxa"/>
          </w:tcPr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07.10.2025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</w:p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28.10.2025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</w:p>
        </w:tc>
        <w:tc>
          <w:tcPr>
            <w:tcW w:w="7224" w:type="dxa"/>
          </w:tcPr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  <w:r w:rsidRPr="002A57B9">
              <w:rPr>
                <w:rFonts w:eastAsia="Times New Roman" w:cstheme="minorHAnsi"/>
                <w:i/>
                <w:lang w:eastAsia="pl-PL"/>
              </w:rPr>
              <w:t>Podwaliny sukcesu szkolnego, czyli o gotowości dziecka do wejścia w rolę ucznia</w:t>
            </w:r>
            <w:r>
              <w:rPr>
                <w:rFonts w:eastAsia="Times New Roman" w:cstheme="minorHAnsi"/>
                <w:i/>
                <w:lang w:eastAsia="pl-PL"/>
              </w:rPr>
              <w:t xml:space="preserve"> cz. 5 </w:t>
            </w:r>
          </w:p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</w:p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>Jak rozwijać kompetencje językowe w wychowaniu przedszkolnym i w edukacji wczesnoszkolnej, by wpływały na sukces szkolny? Podejście wielojęzyczne. Spotkanie z ekspertem</w:t>
            </w:r>
          </w:p>
          <w:p w:rsidR="006A3C35" w:rsidRPr="002A57B9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</w:p>
        </w:tc>
      </w:tr>
      <w:tr w:rsidR="006A3C35" w:rsidTr="006A3C35">
        <w:trPr>
          <w:jc w:val="center"/>
        </w:trPr>
        <w:tc>
          <w:tcPr>
            <w:tcW w:w="1838" w:type="dxa"/>
          </w:tcPr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05.11.2025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</w:p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25.11.2025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</w:p>
        </w:tc>
        <w:tc>
          <w:tcPr>
            <w:tcW w:w="7224" w:type="dxa"/>
          </w:tcPr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  <w:r w:rsidRPr="002A57B9">
              <w:rPr>
                <w:rFonts w:eastAsia="Times New Roman" w:cstheme="minorHAnsi"/>
                <w:i/>
                <w:lang w:eastAsia="pl-PL"/>
              </w:rPr>
              <w:t>Podwaliny sukcesu szkolnego, czyli o gotowości dziecka do wejścia w rolę ucznia</w:t>
            </w:r>
            <w:r>
              <w:rPr>
                <w:rFonts w:eastAsia="Times New Roman" w:cstheme="minorHAnsi"/>
                <w:i/>
                <w:lang w:eastAsia="pl-PL"/>
              </w:rPr>
              <w:t xml:space="preserve"> cz. 6 </w:t>
            </w:r>
          </w:p>
          <w:p w:rsidR="006A3C35" w:rsidRDefault="006A3C35" w:rsidP="003D5409">
            <w:pPr>
              <w:rPr>
                <w:rFonts w:eastAsia="Times New Roman" w:cstheme="minorHAnsi"/>
                <w:i/>
                <w:lang w:eastAsia="pl-PL"/>
              </w:rPr>
            </w:pPr>
          </w:p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>Jak rozwijać kompetencje społeczne w wychowaniu przedszkolnym                                 i w edukacji wczesnoszkolnej, by wpływały na sukces szkolny? Spotkanie                          z ekspertem</w:t>
            </w:r>
          </w:p>
          <w:p w:rsidR="006A3C35" w:rsidRPr="002A57B9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</w:p>
        </w:tc>
      </w:tr>
      <w:tr w:rsidR="006A3C35" w:rsidTr="006A3C35">
        <w:trPr>
          <w:jc w:val="center"/>
        </w:trPr>
        <w:tc>
          <w:tcPr>
            <w:tcW w:w="1838" w:type="dxa"/>
          </w:tcPr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lastRenderedPageBreak/>
              <w:t>03.12.2025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</w:p>
          <w:p w:rsidR="006A3C35" w:rsidRPr="00CD37FE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  <w:r w:rsidRPr="00CD37FE">
              <w:rPr>
                <w:rFonts w:eastAsia="Times New Roman" w:cstheme="minorHAnsi"/>
                <w:b/>
                <w:lang w:eastAsia="pl-PL"/>
              </w:rPr>
              <w:t>16.12.2025 r.</w:t>
            </w:r>
          </w:p>
          <w:p w:rsidR="006A3C35" w:rsidRDefault="006A3C35" w:rsidP="003D5409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18:00 - 19:00</w:t>
            </w:r>
          </w:p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</w:p>
          <w:p w:rsidR="006A3C35" w:rsidRDefault="006A3C35" w:rsidP="003D5409">
            <w:pPr>
              <w:rPr>
                <w:rFonts w:eastAsia="Times New Roman" w:cstheme="minorHAnsi"/>
                <w:b/>
                <w:lang w:eastAsia="pl-PL"/>
              </w:rPr>
            </w:pPr>
          </w:p>
        </w:tc>
        <w:tc>
          <w:tcPr>
            <w:tcW w:w="7224" w:type="dxa"/>
          </w:tcPr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  <w:r w:rsidRPr="002A57B9">
              <w:rPr>
                <w:rFonts w:eastAsia="Times New Roman" w:cstheme="minorHAnsi"/>
                <w:i/>
                <w:lang w:eastAsia="pl-PL"/>
              </w:rPr>
              <w:t>Podwaliny sukcesu szkolnego, czyli o gotowości dziecka do wejścia w rolę ucznia</w:t>
            </w:r>
            <w:r>
              <w:rPr>
                <w:rFonts w:eastAsia="Times New Roman" w:cstheme="minorHAnsi"/>
                <w:i/>
                <w:lang w:eastAsia="pl-PL"/>
              </w:rPr>
              <w:t xml:space="preserve"> cz. 7 </w:t>
            </w:r>
          </w:p>
          <w:p w:rsidR="006A3C35" w:rsidRDefault="006A3C35" w:rsidP="003D5409">
            <w:pPr>
              <w:rPr>
                <w:rFonts w:eastAsia="Times New Roman" w:cstheme="minorHAnsi"/>
                <w:i/>
                <w:lang w:eastAsia="pl-PL"/>
              </w:rPr>
            </w:pPr>
          </w:p>
          <w:p w:rsidR="006A3C35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 xml:space="preserve">Jak rozwijać kompetencje osobiste w wychowaniu przedszkolnym                                 i w edukacji wczesnoszkolnej, by wpływały na sukces szkolny? Spotkanie                          z ekspertem </w:t>
            </w:r>
          </w:p>
          <w:p w:rsidR="006A3C35" w:rsidRPr="002A57B9" w:rsidRDefault="006A3C35" w:rsidP="003D5409">
            <w:pPr>
              <w:jc w:val="center"/>
              <w:rPr>
                <w:rFonts w:eastAsia="Times New Roman" w:cstheme="minorHAnsi"/>
                <w:i/>
                <w:lang w:eastAsia="pl-PL"/>
              </w:rPr>
            </w:pPr>
          </w:p>
        </w:tc>
      </w:tr>
    </w:tbl>
    <w:p w:rsidR="009A1FA1" w:rsidRDefault="009A1FA1">
      <w:pPr>
        <w:pStyle w:val="Standard"/>
        <w:rPr>
          <w:rFonts w:ascii="Tahoma" w:hAnsi="Tahoma" w:cs="Tahoma"/>
        </w:rPr>
      </w:pPr>
    </w:p>
    <w:sectPr w:rsidR="009A1FA1" w:rsidSect="006A3C35">
      <w:headerReference w:type="default" r:id="rId6"/>
      <w:footerReference w:type="default" r:id="rId7"/>
      <w:pgSz w:w="11906" w:h="16838"/>
      <w:pgMar w:top="536" w:right="1134" w:bottom="567" w:left="1134" w:header="708" w:footer="21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6BB" w:rsidRDefault="00786E9D">
      <w:pPr>
        <w:rPr>
          <w:rFonts w:hint="eastAsia"/>
        </w:rPr>
      </w:pPr>
      <w:r>
        <w:separator/>
      </w:r>
    </w:p>
  </w:endnote>
  <w:endnote w:type="continuationSeparator" w:id="0">
    <w:p w:rsidR="005156BB" w:rsidRDefault="00786E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B65" w:rsidRDefault="00786E9D">
    <w:pPr>
      <w:pStyle w:val="Stopka"/>
      <w:tabs>
        <w:tab w:val="clear" w:pos="4536"/>
        <w:tab w:val="clear" w:pos="9072"/>
      </w:tabs>
      <w:jc w:val="center"/>
      <w:rPr>
        <w:rFonts w:hint="eastAsia"/>
      </w:rPr>
    </w:pPr>
    <w:r>
      <w:rPr>
        <w:noProof/>
        <w:lang w:eastAsia="pl-PL" w:bidi="ar-SA"/>
      </w:rPr>
      <w:drawing>
        <wp:inline distT="0" distB="0" distL="0" distR="0">
          <wp:extent cx="6115050" cy="600075"/>
          <wp:effectExtent l="0" t="0" r="0" b="9525"/>
          <wp:docPr id="10" name="Obraz 3 kopia 2" descr="C:\Users\mjakubowska\Downloads\pasek_ue_ore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00089" cy="61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6BB" w:rsidRDefault="00786E9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156BB" w:rsidRDefault="00786E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B65" w:rsidRDefault="00786E9D" w:rsidP="006A3C35">
    <w:pPr>
      <w:pStyle w:val="NormalnyWeb"/>
      <w:jc w:val="center"/>
    </w:pPr>
    <w:r>
      <w:rPr>
        <w:noProof/>
      </w:rPr>
      <w:drawing>
        <wp:inline distT="0" distB="0" distL="0" distR="0">
          <wp:extent cx="6153150" cy="952500"/>
          <wp:effectExtent l="0" t="0" r="0" b="0"/>
          <wp:docPr id="9" name="Obraz 9" descr="X:\PROMOCJA PROJEKTU\PLIKI projektu Popularyzacja zestawów narzędzi edukacyjnych\Baner Popularyzacja zestawów narzędzi edukacyjnych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03817" cy="96034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922B65" w:rsidRDefault="00DE1895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9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A1"/>
    <w:rsid w:val="001473D1"/>
    <w:rsid w:val="005156BB"/>
    <w:rsid w:val="00521274"/>
    <w:rsid w:val="006A3C35"/>
    <w:rsid w:val="00786E9D"/>
    <w:rsid w:val="009A1FA1"/>
    <w:rsid w:val="00C0613F"/>
    <w:rsid w:val="00DD3AA0"/>
    <w:rsid w:val="00DE1895"/>
    <w:rsid w:val="00E2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4ABBC1"/>
  <w15:docId w15:val="{8313DE45-4EE1-45B7-9C77-3451E756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HeaderandFooter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rPr>
      <w:rFonts w:cs="Mangal"/>
      <w:szCs w:val="21"/>
    </w:rPr>
  </w:style>
  <w:style w:type="paragraph" w:styleId="NormalnyWeb">
    <w:name w:val="Normal (Web)"/>
    <w:basedOn w:val="Normalny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39"/>
    <w:rsid w:val="006A3C35"/>
    <w:pPr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Jakubowska Magdalena</dc:creator>
  <cp:lastModifiedBy>Jakubowska Magdalena</cp:lastModifiedBy>
  <cp:revision>3</cp:revision>
  <dcterms:created xsi:type="dcterms:W3CDTF">2025-04-22T10:04:00Z</dcterms:created>
  <dcterms:modified xsi:type="dcterms:W3CDTF">2025-05-26T07:24:00Z</dcterms:modified>
</cp:coreProperties>
</file>